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AD2369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AD2369" w:rsidP="00013D1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570-п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B86BC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B86BC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E32651" w:rsidRDefault="00E32651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B04EC3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bookmarkStart w:id="0" w:name="_GoBack"/>
      <w:bookmarkEnd w:id="0"/>
      <w:r w:rsidR="005013C4">
        <w:t xml:space="preserve"> </w:t>
      </w:r>
      <w:r>
        <w:t>1</w:t>
      </w:r>
      <w:r w:rsidRPr="00B04EC3">
        <w:rPr>
          <w:u w:val="single"/>
        </w:rPr>
        <w:t>4.11.2023 г</w:t>
      </w:r>
      <w:r>
        <w:t xml:space="preserve"> № </w:t>
      </w:r>
      <w:r w:rsidRPr="00B04EC3">
        <w:rPr>
          <w:u w:val="single"/>
        </w:rPr>
        <w:t>570-п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713ECC">
              <w:t>312</w:t>
            </w:r>
            <w:r w:rsidR="00E32651">
              <w:t>5</w:t>
            </w:r>
            <w:r w:rsidR="00713ECC">
              <w:t>6,279</w:t>
            </w:r>
            <w:r w:rsidR="00371B5E">
              <w:t>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22755,</w:t>
            </w:r>
            <w:r w:rsidR="00D8127D">
              <w:t>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</w:t>
            </w:r>
            <w:r w:rsidR="00300371">
              <w:t>27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4E702A">
              <w:t>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lastRenderedPageBreak/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 xml:space="preserve">коллективах самодеятельного народного творчества  имеют 400 человек </w:t>
      </w:r>
      <w:r w:rsidR="009B467B" w:rsidRPr="009B467B">
        <w:lastRenderedPageBreak/>
        <w:t>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</w:t>
      </w:r>
      <w:r w:rsidRPr="00110031">
        <w:rPr>
          <w:bCs/>
          <w:color w:val="000000"/>
        </w:rPr>
        <w:lastRenderedPageBreak/>
        <w:t>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550"/>
        <w:gridCol w:w="824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lastRenderedPageBreak/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8"/>
        <w:gridCol w:w="2888"/>
        <w:gridCol w:w="670"/>
        <w:gridCol w:w="798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lastRenderedPageBreak/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"/>
        <w:gridCol w:w="1610"/>
        <w:gridCol w:w="1161"/>
        <w:gridCol w:w="964"/>
        <w:gridCol w:w="964"/>
        <w:gridCol w:w="892"/>
        <w:gridCol w:w="964"/>
        <w:gridCol w:w="964"/>
        <w:gridCol w:w="964"/>
        <w:gridCol w:w="964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713ECC" w:rsidP="00E32651">
            <w:r>
              <w:t>312</w:t>
            </w:r>
            <w:r w:rsidR="00E32651">
              <w:t>5</w:t>
            </w:r>
            <w:r>
              <w:t>6,279</w:t>
            </w:r>
            <w:r w:rsidR="00371B5E">
              <w:t>13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713ECC" w:rsidP="00DC211E">
            <w:r>
              <w:t>7759,7748</w:t>
            </w:r>
            <w:r w:rsidR="00371B5E">
              <w:t>9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1315D4" w:rsidP="00D8127D">
            <w:r>
              <w:t>22755,</w:t>
            </w:r>
            <w:r w:rsidR="00D8127D">
              <w:t>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E32651" w:rsidP="0007112B">
            <w:pPr>
              <w:rPr>
                <w:highlight w:val="cyan"/>
              </w:rPr>
            </w:pPr>
            <w:r>
              <w:t>72</w:t>
            </w:r>
            <w:r w:rsidR="004E702A">
              <w:t>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 xml:space="preserve">Подпрограмма  </w:t>
            </w:r>
            <w:r w:rsidR="00265598"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713ECC" w:rsidP="00D8127D">
            <w:r>
              <w:t>20395,41911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713ECC" w:rsidP="00CB02DA">
            <w:r>
              <w:t>3866,90906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E5B5A" w:rsidP="00D8127D">
            <w:r>
              <w:t>16028,</w:t>
            </w:r>
            <w:r w:rsidR="00D8127D">
              <w:t>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265598" w:rsidP="00CB02DA">
            <w:r>
              <w:t>50</w:t>
            </w:r>
            <w:r w:rsidR="00766E06" w:rsidRPr="00CB02DA">
              <w:t>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E32651">
            <w:r>
              <w:t>10</w:t>
            </w:r>
            <w:r w:rsidR="00713ECC">
              <w:t>8</w:t>
            </w:r>
            <w:r w:rsidR="00E32651">
              <w:t>6</w:t>
            </w:r>
            <w:r w:rsidR="00713ECC">
              <w:t>0</w:t>
            </w:r>
            <w:r>
              <w:t>,</w:t>
            </w:r>
            <w:r w:rsidR="00713ECC">
              <w:t>86002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713ECC" w:rsidP="00EF7AC4">
            <w:r>
              <w:t>389</w:t>
            </w:r>
            <w:r w:rsidR="00EF7AC4">
              <w:t>2</w:t>
            </w:r>
            <w:r>
              <w:t>,</w:t>
            </w:r>
            <w:r w:rsidR="00EF7AC4">
              <w:t>86583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</w:t>
            </w:r>
            <w:r w:rsidRPr="005D445F">
              <w:lastRenderedPageBreak/>
              <w:t>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lastRenderedPageBreak/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</w:t>
            </w:r>
            <w:r w:rsidRPr="005D445F">
              <w:lastRenderedPageBreak/>
              <w:t>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lastRenderedPageBreak/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E32651" w:rsidP="004E702A">
            <w:r>
              <w:t>22</w:t>
            </w:r>
            <w:r w:rsidR="00766E06"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81"/>
        <w:gridCol w:w="1454"/>
        <w:gridCol w:w="963"/>
        <w:gridCol w:w="1009"/>
        <w:gridCol w:w="1009"/>
        <w:gridCol w:w="1196"/>
        <w:gridCol w:w="1196"/>
        <w:gridCol w:w="823"/>
        <w:gridCol w:w="823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CC0CD3" w:rsidP="00D8127D">
            <w:r>
              <w:t>20395,41911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713ECC" w:rsidP="00713ECC">
            <w:r>
              <w:t>3866,90906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133B51" w:rsidP="00D8127D">
            <w:r>
              <w:t>16028,</w:t>
            </w:r>
            <w:r w:rsidR="00D8127D">
              <w:t>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265598" w:rsidP="00265598">
            <w:r>
              <w:t>500</w:t>
            </w:r>
            <w:r w:rsidR="00DC7DB5" w:rsidRPr="00CB02DA">
              <w:t>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</w:t>
      </w:r>
      <w:r w:rsidRPr="005D445F">
        <w:lastRenderedPageBreak/>
        <w:t xml:space="preserve">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"/>
        <w:gridCol w:w="2153"/>
        <w:gridCol w:w="646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CC0CD3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 xml:space="preserve">Количество муниципальных </w:t>
            </w:r>
            <w:r w:rsidRPr="005B64EA">
              <w:rPr>
                <w:sz w:val="22"/>
                <w:szCs w:val="22"/>
              </w:rPr>
              <w:lastRenderedPageBreak/>
              <w:t>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lastRenderedPageBreak/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"/>
        <w:gridCol w:w="1718"/>
        <w:gridCol w:w="1233"/>
        <w:gridCol w:w="1021"/>
        <w:gridCol w:w="944"/>
        <w:gridCol w:w="1021"/>
        <w:gridCol w:w="1021"/>
        <w:gridCol w:w="1021"/>
        <w:gridCol w:w="714"/>
        <w:gridCol w:w="714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CC0CD3" w:rsidP="00DF6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20395,41911</w:t>
            </w:r>
            <w:r w:rsidR="001356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133B51" w:rsidP="00135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16028,</w:t>
            </w:r>
            <w:r w:rsidR="0013562D">
              <w:rPr>
                <w:sz w:val="20"/>
                <w:szCs w:val="20"/>
              </w:rPr>
              <w:t>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C7DB5" w:rsidRPr="00071052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</w:t>
            </w:r>
            <w:r w:rsidRPr="005D445F">
              <w:rPr>
                <w:sz w:val="20"/>
                <w:szCs w:val="20"/>
              </w:rPr>
              <w:lastRenderedPageBreak/>
              <w:t xml:space="preserve">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CC0CD3" w:rsidP="00300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15989,45036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60"/>
        <w:gridCol w:w="1395"/>
        <w:gridCol w:w="989"/>
        <w:gridCol w:w="988"/>
        <w:gridCol w:w="988"/>
        <w:gridCol w:w="988"/>
        <w:gridCol w:w="1070"/>
        <w:gridCol w:w="988"/>
        <w:gridCol w:w="988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</w:t>
            </w:r>
            <w:r w:rsidRPr="005D445F">
              <w:rPr>
                <w:lang w:eastAsia="ar-SA"/>
              </w:rPr>
              <w:lastRenderedPageBreak/>
              <w:t>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lastRenderedPageBreak/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3E4FCF" w:rsidRDefault="003E4FCF" w:rsidP="00E32651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108</w:t>
            </w:r>
            <w:r w:rsidR="00E32651">
              <w:rPr>
                <w:sz w:val="20"/>
                <w:szCs w:val="20"/>
              </w:rPr>
              <w:t>6</w:t>
            </w:r>
            <w:r w:rsidRPr="003E4FCF">
              <w:rPr>
                <w:sz w:val="20"/>
                <w:szCs w:val="20"/>
              </w:rPr>
              <w:t>0,86002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3E4FCF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  <w:r w:rsidR="00EF7A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EF7AC4">
              <w:rPr>
                <w:sz w:val="20"/>
                <w:szCs w:val="20"/>
              </w:rPr>
              <w:t>86583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6179B8"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lastRenderedPageBreak/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2670"/>
        <w:gridCol w:w="699"/>
        <w:gridCol w:w="816"/>
        <w:gridCol w:w="816"/>
        <w:gridCol w:w="816"/>
        <w:gridCol w:w="816"/>
        <w:gridCol w:w="996"/>
        <w:gridCol w:w="816"/>
        <w:gridCol w:w="816"/>
      </w:tblGrid>
      <w:tr w:rsidR="006179B8" w:rsidRPr="00935100" w:rsidTr="006179B8">
        <w:tc>
          <w:tcPr>
            <w:tcW w:w="0" w:type="auto"/>
          </w:tcPr>
          <w:p w:rsidR="006179B8" w:rsidRPr="00935100" w:rsidRDefault="00D656CF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179B8"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1B3D88" w:rsidRDefault="001B3D8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6179B8" w:rsidRPr="00935100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30000</w:t>
            </w:r>
          </w:p>
        </w:tc>
        <w:tc>
          <w:tcPr>
            <w:tcW w:w="0" w:type="auto"/>
          </w:tcPr>
          <w:p w:rsidR="006179B8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31000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2120"/>
        <w:gridCol w:w="1128"/>
        <w:gridCol w:w="903"/>
        <w:gridCol w:w="869"/>
        <w:gridCol w:w="869"/>
        <w:gridCol w:w="869"/>
        <w:gridCol w:w="937"/>
        <w:gridCol w:w="869"/>
        <w:gridCol w:w="869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3E4FCF" w:rsidP="00E32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  <w:r w:rsidR="00E32651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0,86002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656A3B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C81FD3" w:rsidRPr="006179B8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3E4FCF" w:rsidP="00E326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  <w:r w:rsidR="00E32651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0,8600</w:t>
            </w:r>
            <w:r w:rsidR="00596C2F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656A3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FF3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6646,88505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81FD3" w:rsidRPr="00935100">
              <w:rPr>
                <w:sz w:val="20"/>
                <w:szCs w:val="20"/>
              </w:rPr>
              <w:t>0</w:t>
            </w:r>
            <w:r w:rsidR="00C81FD3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3E4FCF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3E4FCF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3E4FCF" w:rsidP="009604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604DB">
              <w:rPr>
                <w:sz w:val="20"/>
                <w:szCs w:val="20"/>
              </w:rPr>
              <w:t>497</w:t>
            </w:r>
            <w:r>
              <w:rPr>
                <w:sz w:val="20"/>
                <w:szCs w:val="20"/>
              </w:rPr>
              <w:t>,34995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E3265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81FD3" w:rsidRPr="00935100">
              <w:rPr>
                <w:sz w:val="20"/>
                <w:szCs w:val="20"/>
              </w:rPr>
              <w:t>0</w:t>
            </w:r>
            <w:r w:rsidR="00C81FD3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F3E2B" w:rsidRPr="00CD44EE" w:rsidRDefault="001F3E2B" w:rsidP="001F3E2B">
      <w:pPr>
        <w:ind w:left="2124" w:firstLine="708"/>
        <w:outlineLvl w:val="0"/>
        <w:rPr>
          <w:b/>
        </w:rPr>
      </w:pPr>
      <w:r w:rsidRPr="00CD44EE">
        <w:rPr>
          <w:b/>
        </w:rPr>
        <w:lastRenderedPageBreak/>
        <w:t>ЛИСТ СОГЛАСОВАНИЯ</w:t>
      </w:r>
    </w:p>
    <w:p w:rsidR="001F3E2B" w:rsidRPr="00CD44EE" w:rsidRDefault="001F3E2B" w:rsidP="001F3E2B">
      <w:pPr>
        <w:rPr>
          <w:b/>
        </w:rPr>
      </w:pPr>
    </w:p>
    <w:p w:rsidR="001F3E2B" w:rsidRPr="001F3E2B" w:rsidRDefault="001F3E2B" w:rsidP="001F3E2B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Постановление</w:t>
      </w:r>
      <w:r w:rsidRPr="000C16C8">
        <w:rPr>
          <w:b w:val="0"/>
          <w:sz w:val="24"/>
          <w:szCs w:val="24"/>
        </w:rPr>
        <w:t xml:space="preserve"> администрации Вичугского муниципального района Ивановской области «</w:t>
      </w:r>
      <w:r w:rsidRPr="001F3E2B">
        <w:rPr>
          <w:b w:val="0"/>
          <w:bCs/>
          <w:sz w:val="24"/>
          <w:szCs w:val="24"/>
        </w:rPr>
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Pr="001F3E2B">
        <w:rPr>
          <w:b w:val="0"/>
          <w:bCs/>
          <w:sz w:val="24"/>
          <w:szCs w:val="24"/>
        </w:rPr>
        <w:t>Вичугском</w:t>
      </w:r>
      <w:proofErr w:type="spellEnd"/>
      <w:r w:rsidRPr="001F3E2B">
        <w:rPr>
          <w:b w:val="0"/>
          <w:bCs/>
          <w:sz w:val="24"/>
          <w:szCs w:val="24"/>
        </w:rPr>
        <w:t xml:space="preserve"> районе»</w:t>
      </w:r>
      <w:r w:rsidR="00043F05">
        <w:rPr>
          <w:b w:val="0"/>
          <w:bCs/>
          <w:sz w:val="24"/>
          <w:szCs w:val="24"/>
        </w:rPr>
        <w:t xml:space="preserve">  </w:t>
      </w:r>
    </w:p>
    <w:p w:rsidR="001F3E2B" w:rsidRPr="00CD44EE" w:rsidRDefault="001F3E2B" w:rsidP="001F3E2B">
      <w:pPr>
        <w:ind w:left="360"/>
      </w:pPr>
    </w:p>
    <w:p w:rsidR="001F3E2B" w:rsidRPr="00CD44EE" w:rsidRDefault="001F3E2B" w:rsidP="001F3E2B">
      <w:pPr>
        <w:outlineLvl w:val="0"/>
      </w:pPr>
      <w:r>
        <w:t>Гусева М.Н.</w:t>
      </w:r>
      <w:r w:rsidRPr="00CD44EE">
        <w:t xml:space="preserve">, </w:t>
      </w:r>
      <w:r>
        <w:t>начальник отдела координации социальной сферы</w:t>
      </w:r>
      <w:r w:rsidRPr="00CD44EE">
        <w:t xml:space="preserve">, </w:t>
      </w:r>
      <w:r>
        <w:t xml:space="preserve">_____, телефон </w:t>
      </w:r>
      <w:r w:rsidR="0008694D">
        <w:t>2-32-71</w:t>
      </w:r>
      <w:r>
        <w:t>(234)</w:t>
      </w:r>
    </w:p>
    <w:p w:rsidR="001F3E2B" w:rsidRDefault="001F3E2B" w:rsidP="001F3E2B">
      <w:pPr>
        <w:ind w:left="360"/>
        <w:outlineLvl w:val="0"/>
      </w:pPr>
    </w:p>
    <w:p w:rsidR="001F3E2B" w:rsidRPr="00CD44EE" w:rsidRDefault="001F3E2B" w:rsidP="001F3E2B">
      <w:pPr>
        <w:ind w:left="360"/>
        <w:outlineLvl w:val="0"/>
      </w:pPr>
      <w:r w:rsidRPr="00CD44EE">
        <w:t>Проект согласован</w:t>
      </w:r>
      <w:r>
        <w:t>:</w:t>
      </w:r>
    </w:p>
    <w:p w:rsidR="001F3E2B" w:rsidRPr="00CD44EE" w:rsidRDefault="001F3E2B" w:rsidP="001F3E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57"/>
        <w:gridCol w:w="2349"/>
        <w:gridCol w:w="2229"/>
        <w:gridCol w:w="2200"/>
      </w:tblGrid>
      <w:tr w:rsidR="001F3E2B" w:rsidRPr="00CD44EE" w:rsidTr="00045791">
        <w:tc>
          <w:tcPr>
            <w:tcW w:w="1519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поступления проекта</w:t>
            </w:r>
          </w:p>
        </w:tc>
        <w:tc>
          <w:tcPr>
            <w:tcW w:w="1557" w:type="dxa"/>
          </w:tcPr>
          <w:p w:rsidR="001F3E2B" w:rsidRPr="00CD44EE" w:rsidRDefault="001F3E2B" w:rsidP="00045791">
            <w:pPr>
              <w:jc w:val="center"/>
            </w:pPr>
            <w:r w:rsidRPr="00CD44EE">
              <w:t>Дата визирования проекта</w:t>
            </w:r>
          </w:p>
        </w:tc>
        <w:tc>
          <w:tcPr>
            <w:tcW w:w="2349" w:type="dxa"/>
          </w:tcPr>
          <w:p w:rsidR="001F3E2B" w:rsidRPr="00CD44EE" w:rsidRDefault="001F3E2B" w:rsidP="00045791">
            <w:pPr>
              <w:ind w:firstLine="42"/>
              <w:jc w:val="center"/>
            </w:pPr>
            <w:r w:rsidRPr="00CD44EE">
              <w:t>Должность, фамилия, инициалы</w:t>
            </w:r>
          </w:p>
        </w:tc>
        <w:tc>
          <w:tcPr>
            <w:tcW w:w="2229" w:type="dxa"/>
          </w:tcPr>
          <w:p w:rsidR="001F3E2B" w:rsidRPr="00CD44EE" w:rsidRDefault="001F3E2B" w:rsidP="00045791">
            <w:pPr>
              <w:ind w:firstLine="34"/>
              <w:jc w:val="center"/>
            </w:pPr>
            <w:r w:rsidRPr="00CD44EE">
              <w:t>Замечания</w:t>
            </w:r>
          </w:p>
        </w:tc>
        <w:tc>
          <w:tcPr>
            <w:tcW w:w="2200" w:type="dxa"/>
          </w:tcPr>
          <w:p w:rsidR="001F3E2B" w:rsidRPr="00CD44EE" w:rsidRDefault="001F3E2B" w:rsidP="00045791">
            <w:pPr>
              <w:ind w:firstLine="40"/>
              <w:jc w:val="center"/>
            </w:pPr>
            <w:r w:rsidRPr="00CD44EE">
              <w:t>Подпись</w:t>
            </w:r>
          </w:p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Pr="00CD44EE" w:rsidRDefault="001F3E2B" w:rsidP="00C42524">
            <w:r>
              <w:t>Зам</w:t>
            </w:r>
            <w:r w:rsidR="00C42524">
              <w:t>.</w:t>
            </w:r>
            <w:r>
              <w:t xml:space="preserve"> главы </w:t>
            </w:r>
            <w:proofErr w:type="spellStart"/>
            <w:r>
              <w:t>админи</w:t>
            </w:r>
            <w:r w:rsidR="00C42524">
              <w:t>-</w:t>
            </w:r>
            <w:r>
              <w:t>страции</w:t>
            </w:r>
            <w:proofErr w:type="spellEnd"/>
            <w:r>
              <w:t xml:space="preserve"> по </w:t>
            </w:r>
            <w:proofErr w:type="spellStart"/>
            <w:r>
              <w:t>коорди</w:t>
            </w:r>
            <w:proofErr w:type="spellEnd"/>
            <w:r w:rsidR="00C42524">
              <w:t>-</w:t>
            </w:r>
            <w:r>
              <w:t>нации социальной сферы</w:t>
            </w:r>
            <w:r w:rsidR="004D52B4">
              <w:t xml:space="preserve"> </w:t>
            </w:r>
            <w:r>
              <w:t xml:space="preserve"> </w:t>
            </w:r>
            <w:proofErr w:type="spellStart"/>
            <w:r w:rsidR="00C42524">
              <w:t>Бухова</w:t>
            </w:r>
            <w:proofErr w:type="spellEnd"/>
            <w:r>
              <w:t xml:space="preserve"> И.</w:t>
            </w:r>
            <w:r w:rsidR="00C42524">
              <w:t>В</w:t>
            </w:r>
            <w:r>
              <w:t>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2F6DFD" w:rsidP="002F6DFD">
            <w:r>
              <w:t xml:space="preserve">Начальник </w:t>
            </w:r>
            <w:r w:rsidR="00EB3227">
              <w:t>отдела</w:t>
            </w:r>
            <w:r w:rsidR="001F3E2B">
              <w:t xml:space="preserve"> правового и информационного обеспечения </w:t>
            </w:r>
            <w:proofErr w:type="spellStart"/>
            <w:r>
              <w:t>Пузакова</w:t>
            </w:r>
            <w:proofErr w:type="spellEnd"/>
            <w:r>
              <w:t xml:space="preserve"> Е.О.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  <w:tr w:rsidR="001A11C8" w:rsidRPr="00CD44EE" w:rsidTr="00045791">
        <w:tc>
          <w:tcPr>
            <w:tcW w:w="1519" w:type="dxa"/>
          </w:tcPr>
          <w:p w:rsidR="001A11C8" w:rsidRPr="00CD44EE" w:rsidRDefault="001A11C8" w:rsidP="00045791"/>
        </w:tc>
        <w:tc>
          <w:tcPr>
            <w:tcW w:w="1557" w:type="dxa"/>
          </w:tcPr>
          <w:p w:rsidR="001A11C8" w:rsidRPr="00CD44EE" w:rsidRDefault="001A11C8" w:rsidP="00045791"/>
        </w:tc>
        <w:tc>
          <w:tcPr>
            <w:tcW w:w="2349" w:type="dxa"/>
          </w:tcPr>
          <w:p w:rsidR="001A11C8" w:rsidRDefault="005944A4" w:rsidP="005944A4">
            <w:r>
              <w:t>Н</w:t>
            </w:r>
            <w:r w:rsidR="001A11C8">
              <w:t>ачальник отдела финансов администрации Вичугского муниципального района</w:t>
            </w:r>
            <w:r w:rsidR="005C7593">
              <w:t xml:space="preserve"> </w:t>
            </w:r>
            <w:r>
              <w:t>Безрукова С.Ю.</w:t>
            </w:r>
          </w:p>
        </w:tc>
        <w:tc>
          <w:tcPr>
            <w:tcW w:w="2229" w:type="dxa"/>
          </w:tcPr>
          <w:p w:rsidR="001A11C8" w:rsidRPr="00CD44EE" w:rsidRDefault="001A11C8" w:rsidP="00045791"/>
        </w:tc>
        <w:tc>
          <w:tcPr>
            <w:tcW w:w="2200" w:type="dxa"/>
          </w:tcPr>
          <w:p w:rsidR="001A11C8" w:rsidRPr="00CD44EE" w:rsidRDefault="001A11C8" w:rsidP="00045791"/>
        </w:tc>
      </w:tr>
      <w:tr w:rsidR="001F3E2B" w:rsidRPr="00CD44EE" w:rsidTr="00045791">
        <w:tc>
          <w:tcPr>
            <w:tcW w:w="1519" w:type="dxa"/>
          </w:tcPr>
          <w:p w:rsidR="001F3E2B" w:rsidRPr="00CD44EE" w:rsidRDefault="001F3E2B" w:rsidP="00045791"/>
        </w:tc>
        <w:tc>
          <w:tcPr>
            <w:tcW w:w="1557" w:type="dxa"/>
          </w:tcPr>
          <w:p w:rsidR="001F3E2B" w:rsidRPr="00CD44EE" w:rsidRDefault="001F3E2B" w:rsidP="00045791"/>
        </w:tc>
        <w:tc>
          <w:tcPr>
            <w:tcW w:w="2349" w:type="dxa"/>
          </w:tcPr>
          <w:p w:rsidR="001F3E2B" w:rsidRDefault="001F3E2B" w:rsidP="00045791">
            <w:proofErr w:type="spellStart"/>
            <w:r>
              <w:t>Зам.начальника-</w:t>
            </w:r>
            <w:proofErr w:type="gramStart"/>
            <w:r>
              <w:t>гл.бух</w:t>
            </w:r>
            <w:proofErr w:type="spellEnd"/>
            <w:proofErr w:type="gramEnd"/>
            <w:r>
              <w:t>.</w:t>
            </w:r>
            <w:r w:rsidR="00AE3F1D" w:rsidRPr="000C16C8">
              <w:t xml:space="preserve"> МКУ Вичуг</w:t>
            </w:r>
            <w:r w:rsidR="00C42524">
              <w:t>-</w:t>
            </w:r>
            <w:proofErr w:type="spellStart"/>
            <w:r w:rsidR="00AE3F1D" w:rsidRPr="000C16C8">
              <w:t>ского</w:t>
            </w:r>
            <w:proofErr w:type="spellEnd"/>
            <w:r w:rsidR="00AE3F1D" w:rsidRPr="000C16C8">
              <w:t xml:space="preserve"> </w:t>
            </w:r>
            <w:proofErr w:type="spellStart"/>
            <w:r w:rsidR="00AE3F1D" w:rsidRPr="000C16C8">
              <w:t>муниципаль</w:t>
            </w:r>
            <w:r w:rsidR="00C42524">
              <w:t>-</w:t>
            </w:r>
            <w:r w:rsidR="00AE3F1D" w:rsidRPr="000C16C8">
              <w:t>ного</w:t>
            </w:r>
            <w:proofErr w:type="spellEnd"/>
            <w:r w:rsidR="00AE3F1D" w:rsidRPr="000C16C8">
              <w:t xml:space="preserve"> района «Центр бюджетного бух</w:t>
            </w:r>
            <w:r w:rsidR="00C42524">
              <w:t>-</w:t>
            </w:r>
            <w:proofErr w:type="spellStart"/>
            <w:r w:rsidR="00AE3F1D" w:rsidRPr="000C16C8">
              <w:t>галтерского</w:t>
            </w:r>
            <w:proofErr w:type="spellEnd"/>
            <w:r w:rsidR="00AE3F1D" w:rsidRPr="000C16C8">
              <w:t xml:space="preserve"> учета и содержания зданий»   </w:t>
            </w:r>
            <w:r>
              <w:t xml:space="preserve"> Морозова Е.Г.</w:t>
            </w:r>
          </w:p>
        </w:tc>
        <w:tc>
          <w:tcPr>
            <w:tcW w:w="2229" w:type="dxa"/>
          </w:tcPr>
          <w:p w:rsidR="001F3E2B" w:rsidRPr="00CD44EE" w:rsidRDefault="001F3E2B" w:rsidP="00045791"/>
        </w:tc>
        <w:tc>
          <w:tcPr>
            <w:tcW w:w="2200" w:type="dxa"/>
          </w:tcPr>
          <w:p w:rsidR="001F3E2B" w:rsidRPr="00CD44EE" w:rsidRDefault="001F3E2B" w:rsidP="00045791"/>
        </w:tc>
      </w:tr>
    </w:tbl>
    <w:p w:rsidR="001F3E2B" w:rsidRPr="00CD44EE" w:rsidRDefault="001F3E2B" w:rsidP="001F3E2B">
      <w:pPr>
        <w:ind w:firstLine="708"/>
      </w:pPr>
    </w:p>
    <w:p w:rsidR="001F3E2B" w:rsidRPr="00CD44EE" w:rsidRDefault="001F3E2B" w:rsidP="001F3E2B">
      <w:pPr>
        <w:ind w:firstLine="708"/>
      </w:pPr>
      <w:r w:rsidRPr="00CD44EE">
        <w:t>Список рассылки:</w:t>
      </w:r>
    </w:p>
    <w:p w:rsidR="001F3E2B" w:rsidRPr="00CD44EE" w:rsidRDefault="001F3E2B" w:rsidP="001F3E2B">
      <w:pPr>
        <w:ind w:firstLine="70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3"/>
        <w:gridCol w:w="3273"/>
        <w:gridCol w:w="3274"/>
      </w:tblGrid>
      <w:tr w:rsidR="001F3E2B" w:rsidRPr="00CD44EE" w:rsidTr="00045791">
        <w:trPr>
          <w:trHeight w:val="584"/>
        </w:trPr>
        <w:tc>
          <w:tcPr>
            <w:tcW w:w="3273" w:type="dxa"/>
          </w:tcPr>
          <w:p w:rsidR="001F3E2B" w:rsidRPr="00CD44EE" w:rsidRDefault="001F3E2B" w:rsidP="00045791">
            <w:r w:rsidRPr="00CD44EE">
              <w:t xml:space="preserve">          Кол-во экз.</w:t>
            </w:r>
          </w:p>
        </w:tc>
        <w:tc>
          <w:tcPr>
            <w:tcW w:w="3273" w:type="dxa"/>
          </w:tcPr>
          <w:p w:rsidR="001F3E2B" w:rsidRPr="00CD44EE" w:rsidRDefault="001F3E2B" w:rsidP="00045791">
            <w:r w:rsidRPr="00CD44EE">
              <w:t>Наименование организации</w:t>
            </w:r>
          </w:p>
        </w:tc>
        <w:tc>
          <w:tcPr>
            <w:tcW w:w="3274" w:type="dxa"/>
          </w:tcPr>
          <w:p w:rsidR="001F3E2B" w:rsidRPr="00CD44EE" w:rsidRDefault="001F3E2B" w:rsidP="00045791">
            <w:r w:rsidRPr="00CD44EE">
              <w:t xml:space="preserve">                  Кому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Pr="00CD44EE" w:rsidRDefault="001F3E2B" w:rsidP="00045791">
            <w:pPr>
              <w:jc w:val="center"/>
            </w:pPr>
            <w:r>
              <w:t>2</w:t>
            </w:r>
          </w:p>
        </w:tc>
        <w:tc>
          <w:tcPr>
            <w:tcW w:w="3273" w:type="dxa"/>
          </w:tcPr>
          <w:p w:rsidR="001F3E2B" w:rsidRPr="00CD44EE" w:rsidRDefault="001F3E2B" w:rsidP="00045791">
            <w:r>
              <w:t xml:space="preserve">Отдел координации </w:t>
            </w:r>
            <w:proofErr w:type="spellStart"/>
            <w:r>
              <w:t>соц</w:t>
            </w:r>
            <w:proofErr w:type="spellEnd"/>
            <w:r>
              <w:t xml:space="preserve"> сферы</w:t>
            </w:r>
          </w:p>
        </w:tc>
        <w:tc>
          <w:tcPr>
            <w:tcW w:w="3274" w:type="dxa"/>
          </w:tcPr>
          <w:p w:rsidR="001F3E2B" w:rsidRPr="00CD44EE" w:rsidRDefault="00374F86" w:rsidP="00045791">
            <w:proofErr w:type="spellStart"/>
            <w:r>
              <w:t>Буховой</w:t>
            </w:r>
            <w:proofErr w:type="spellEnd"/>
            <w:r>
              <w:t xml:space="preserve"> И.В.,</w:t>
            </w:r>
            <w:r w:rsidR="001F3E2B">
              <w:t xml:space="preserve"> Гусевой М.Н.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1F3E2B" w:rsidP="00045791">
            <w:r>
              <w:t>Отдел финансов</w:t>
            </w:r>
          </w:p>
        </w:tc>
        <w:tc>
          <w:tcPr>
            <w:tcW w:w="3274" w:type="dxa"/>
          </w:tcPr>
          <w:p w:rsidR="001F3E2B" w:rsidRDefault="001F3E2B" w:rsidP="00045791">
            <w:r>
              <w:t>Безруковой С.Ю.</w:t>
            </w:r>
          </w:p>
        </w:tc>
      </w:tr>
      <w:tr w:rsidR="001F3E2B" w:rsidRPr="00CD44EE" w:rsidTr="00045791">
        <w:trPr>
          <w:trHeight w:val="306"/>
        </w:trPr>
        <w:tc>
          <w:tcPr>
            <w:tcW w:w="3273" w:type="dxa"/>
          </w:tcPr>
          <w:p w:rsidR="001F3E2B" w:rsidRDefault="001F3E2B" w:rsidP="00045791">
            <w:pPr>
              <w:jc w:val="center"/>
            </w:pPr>
            <w:r>
              <w:t>1</w:t>
            </w:r>
          </w:p>
        </w:tc>
        <w:tc>
          <w:tcPr>
            <w:tcW w:w="3273" w:type="dxa"/>
          </w:tcPr>
          <w:p w:rsidR="001F3E2B" w:rsidRDefault="00AE3F1D" w:rsidP="00045791">
            <w:r w:rsidRPr="000C16C8">
              <w:t xml:space="preserve">МКУ Вичугского муниципального района «Центр бюджетного бухгалтерского учета и содержания зданий»   </w:t>
            </w:r>
          </w:p>
        </w:tc>
        <w:tc>
          <w:tcPr>
            <w:tcW w:w="3274" w:type="dxa"/>
          </w:tcPr>
          <w:p w:rsidR="001F3E2B" w:rsidRDefault="001F3E2B" w:rsidP="00045791">
            <w:r>
              <w:t>Морозовой Е.Г.</w:t>
            </w:r>
          </w:p>
        </w:tc>
      </w:tr>
    </w:tbl>
    <w:p w:rsidR="001F3E2B" w:rsidRDefault="001F3E2B" w:rsidP="0012443F">
      <w:pPr>
        <w:outlineLvl w:val="0"/>
      </w:pPr>
      <w:r w:rsidRPr="00CD44EE">
        <w:t xml:space="preserve">             Дело</w:t>
      </w:r>
      <w:r>
        <w:t xml:space="preserve"> –</w:t>
      </w:r>
      <w:r w:rsidRPr="00CD44EE">
        <w:t xml:space="preserve"> </w:t>
      </w:r>
      <w:r>
        <w:t xml:space="preserve">1 </w:t>
      </w:r>
      <w:r w:rsidRPr="00CD44EE">
        <w:t>экз.</w:t>
      </w:r>
    </w:p>
    <w:sectPr w:rsidR="001F3E2B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2369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4EC3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04C2"/>
    <w:rsid w:val="00ED1DBD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E5A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D311B"/>
  <w15:docId w15:val="{628EBAE0-E3D0-4384-A81F-C72005087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62B16-D901-4258-8892-A8EA49E23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6628</Words>
  <Characters>37785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2</cp:revision>
  <cp:lastPrinted>2023-11-14T11:14:00Z</cp:lastPrinted>
  <dcterms:created xsi:type="dcterms:W3CDTF">2023-11-15T07:52:00Z</dcterms:created>
  <dcterms:modified xsi:type="dcterms:W3CDTF">2023-11-15T07:52:00Z</dcterms:modified>
</cp:coreProperties>
</file>