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2F38D25D" w:rsidR="002616DE" w:rsidRPr="00F65385" w:rsidRDefault="00316310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30.07.2024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367ACC45" w:rsidR="002616DE" w:rsidRPr="00F65385" w:rsidRDefault="00316310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AB07A0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0B4F32B0" w:rsidR="00BA1DDF" w:rsidRPr="00A725AD" w:rsidRDefault="00A2506B" w:rsidP="00AB07A0">
      <w:pPr>
        <w:jc w:val="center"/>
        <w:rPr>
          <w:b/>
        </w:rPr>
      </w:pPr>
      <w:r w:rsidRPr="00A725AD">
        <w:rPr>
          <w:b/>
        </w:rPr>
        <w:t>«Об утверждении муниципальной программы «Развитие системы образования</w:t>
      </w:r>
    </w:p>
    <w:p w14:paraId="0A463874" w14:textId="71E403E6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AB07A0">
      <w:pPr>
        <w:jc w:val="both"/>
      </w:pPr>
    </w:p>
    <w:p w14:paraId="1A76B16C" w14:textId="77777777" w:rsidR="00A2506B" w:rsidRPr="00866A5A" w:rsidRDefault="00A2506B" w:rsidP="00AB07A0">
      <w:pPr>
        <w:jc w:val="both"/>
      </w:pPr>
    </w:p>
    <w:p w14:paraId="42537A5E" w14:textId="57DAC01A" w:rsidR="00A2506B" w:rsidRDefault="006C4F2F" w:rsidP="00AB07A0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1F18B1" w:rsidRPr="001F18B1">
        <w:t xml:space="preserve"> </w:t>
      </w:r>
      <w:r w:rsidR="001F18B1" w:rsidRPr="00866A5A">
        <w:t xml:space="preserve">Законом Ивановской области </w:t>
      </w:r>
      <w:r w:rsidR="001F18B1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1F18B1">
        <w:rPr>
          <w:rStyle w:val="fontstyle01"/>
          <w:b w:val="0"/>
          <w:sz w:val="24"/>
          <w:szCs w:val="24"/>
        </w:rPr>
        <w:t>,</w:t>
      </w:r>
      <w:r w:rsidR="00AB07A0" w:rsidRPr="00AB07A0">
        <w:t xml:space="preserve"> </w:t>
      </w:r>
      <w:r w:rsidR="00AB07A0" w:rsidRPr="00B06CF7">
        <w:t xml:space="preserve">Решением Совета Вичугского муниципального района Ивановской области от </w:t>
      </w:r>
      <w:r w:rsidR="0023673B">
        <w:t>25.07</w:t>
      </w:r>
      <w:r w:rsidR="00AB07A0">
        <w:t>.2024</w:t>
      </w:r>
      <w:r w:rsidR="00AB07A0" w:rsidRPr="00B06CF7">
        <w:t>г. №</w:t>
      </w:r>
      <w:r w:rsidR="0023673B">
        <w:t>4</w:t>
      </w:r>
      <w:r w:rsidR="00AB07A0">
        <w:t>5</w:t>
      </w:r>
      <w:r w:rsidR="00AB07A0">
        <w:rPr>
          <w:color w:val="FF0000"/>
        </w:rPr>
        <w:t xml:space="preserve"> </w:t>
      </w:r>
      <w:r w:rsidR="00AB07A0" w:rsidRPr="00B06CF7">
        <w:t xml:space="preserve">"О внесении изменений в решение Совета Вичугского муниципального района от </w:t>
      </w:r>
      <w:r w:rsidR="00AB07A0">
        <w:t>19.12.2023</w:t>
      </w:r>
      <w:r w:rsidR="00AB07A0" w:rsidRPr="00B06CF7">
        <w:t>г. №</w:t>
      </w:r>
      <w:r w:rsidR="00AB07A0">
        <w:t>100</w:t>
      </w:r>
      <w:r w:rsidR="00AB07A0" w:rsidRPr="00B06CF7">
        <w:t xml:space="preserve"> "О бюджете Вичугского муниципального района на 202</w:t>
      </w:r>
      <w:r w:rsidR="00AB07A0">
        <w:t>4</w:t>
      </w:r>
      <w:r w:rsidR="00AB07A0" w:rsidRPr="00B06CF7">
        <w:t xml:space="preserve"> год и на плановый период 202</w:t>
      </w:r>
      <w:r w:rsidR="00AB07A0">
        <w:t>5</w:t>
      </w:r>
      <w:r w:rsidR="00AB07A0" w:rsidRPr="00B06CF7">
        <w:t xml:space="preserve"> и 202</w:t>
      </w:r>
      <w:r w:rsidR="00AB07A0">
        <w:t>6</w:t>
      </w:r>
      <w:r w:rsidR="00AB07A0" w:rsidRPr="00B06CF7">
        <w:t xml:space="preserve"> годов"</w:t>
      </w:r>
      <w:r w:rsidR="00AB07A0">
        <w:t xml:space="preserve">,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9B042C">
        <w:t xml:space="preserve">айона, администрация </w:t>
      </w:r>
      <w:r w:rsidR="007A164B" w:rsidRPr="00866A5A">
        <w:t xml:space="preserve">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14E4D5B8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2EDEC8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00BD51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81B9ADE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D7A08D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5797C18" w14:textId="5AE4D54C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CCAAD73" w14:textId="77777777" w:rsidR="00CF40AC" w:rsidRDefault="00CF40AC" w:rsidP="00CF40AC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Заместитель главы администрации,</w:t>
      </w:r>
    </w:p>
    <w:p w14:paraId="466CE45A" w14:textId="77777777" w:rsidR="00CF40AC" w:rsidRPr="007132E7" w:rsidRDefault="00CF40AC" w:rsidP="00CF40AC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руководитель аппарата</w:t>
      </w: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Н.Н. Тезина</w:t>
      </w: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6E3946" w14:textId="77777777" w:rsidR="00976C0D" w:rsidRDefault="00976C0D" w:rsidP="00976C0D">
      <w:pPr>
        <w:autoSpaceDE w:val="0"/>
        <w:autoSpaceDN w:val="0"/>
        <w:adjustRightInd w:val="0"/>
        <w:ind w:left="5245"/>
      </w:pP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145443B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5D2459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B1DD0E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1A5F0FE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BA92AC2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430D993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31A0366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5BE5FCE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40E0FB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3641E08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2BD1FF2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906BBEF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131A4B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749FAA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F51763A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C33D83D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4F42E8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65426D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7D9DA00D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12ADAC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7236FF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94E82D7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5A6A7BA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E59B00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595CA7D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574912F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4B2347F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12AF604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ABA3BC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1769CF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C2B3C1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7E44E04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5BF4733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494F257A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10C490F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951031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9C3E25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C4F8E83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95C1C40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DF93788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BCC1FD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FD13BA7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BE0E24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DC46946" w14:textId="5798CC42" w:rsidR="00A2506B" w:rsidRPr="007B20E7" w:rsidRDefault="007132E7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1E3FB7B4" w:rsidR="00A2506B" w:rsidRDefault="00F9195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316310">
        <w:rPr>
          <w:u w:val="single"/>
        </w:rPr>
        <w:t>30.07.2024</w:t>
      </w:r>
      <w:r w:rsidR="00316310">
        <w:t xml:space="preserve"> г </w:t>
      </w:r>
      <w:r w:rsidR="00CF40AC">
        <w:t xml:space="preserve"> </w:t>
      </w:r>
      <w:r w:rsidR="00A2506B">
        <w:t>№</w:t>
      </w:r>
      <w:r w:rsidR="001F511D">
        <w:t xml:space="preserve"> </w:t>
      </w:r>
      <w:r w:rsidR="00CF40AC">
        <w:t xml:space="preserve"> </w:t>
      </w:r>
      <w:r w:rsidR="00316310" w:rsidRPr="00316310">
        <w:rPr>
          <w:u w:val="single"/>
        </w:rPr>
        <w:t>326-п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 xml:space="preserve">«Приложение к постановлению администрации Вичугского муниципального района от 26.12.2018 г. </w:t>
      </w:r>
      <w:bookmarkStart w:id="0" w:name="_GoBack"/>
      <w:bookmarkEnd w:id="0"/>
      <w:r>
        <w:t>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0E456E31" w:rsidR="00F17E9F" w:rsidRPr="00560529" w:rsidRDefault="00AB260B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116 611 152,88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5BD01148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167 015 465,15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52477D5C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15 183 375,56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90D9988" w:rsidR="00F17E9F" w:rsidRPr="002A0D12" w:rsidRDefault="00AB260B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298 809 993,59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12B676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>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25801E9D" w:rsidR="00277EEC" w:rsidRPr="0043297C" w:rsidRDefault="0043297C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43297C">
              <w:rPr>
                <w:b/>
              </w:rPr>
              <w:t>298 809 993,59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0B15B090" w:rsidR="00277EEC" w:rsidRPr="00E257F3" w:rsidRDefault="004C582E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227 735 94</w:t>
            </w:r>
            <w:r w:rsidR="001451B8">
              <w:rPr>
                <w:b/>
              </w:rPr>
              <w:t>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62BDF43" w:rsidR="00087DE5" w:rsidRPr="00D96787" w:rsidRDefault="00D96787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274 513 268,04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3A8C2E97" w:rsidR="00087DE5" w:rsidRPr="001C7583" w:rsidRDefault="00D96787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102 830 543,06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221FEDFB" w:rsidR="00C9000A" w:rsidRPr="001C7583" w:rsidRDefault="00D96787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170 084 071,00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455C4C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455C4C" w:rsidRPr="00E02420" w:rsidRDefault="00455C4C" w:rsidP="00455C4C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455C4C" w:rsidRPr="009A7570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2D461EFD" w:rsidR="00455C4C" w:rsidRPr="0014487C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274 513 268,04</w:t>
            </w:r>
          </w:p>
        </w:tc>
        <w:tc>
          <w:tcPr>
            <w:tcW w:w="1524" w:type="dxa"/>
          </w:tcPr>
          <w:p w14:paraId="0ADEE1B7" w14:textId="3655CCB8" w:rsidR="00455C4C" w:rsidRPr="0014487C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455C4C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455C4C" w:rsidRPr="00077A0E" w14:paraId="7A63F2DE" w14:textId="4921B62C" w:rsidTr="00087DE5">
        <w:tc>
          <w:tcPr>
            <w:tcW w:w="3006" w:type="dxa"/>
          </w:tcPr>
          <w:p w14:paraId="6376178F" w14:textId="77777777" w:rsidR="00455C4C" w:rsidRPr="00E02420" w:rsidRDefault="00455C4C" w:rsidP="00455C4C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455C4C" w:rsidRPr="00E02420" w:rsidRDefault="00455C4C" w:rsidP="00455C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455C4C" w:rsidRPr="00E02420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455C4C" w:rsidRPr="00E02420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455C4C" w:rsidRPr="001F3BD6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1E255BD7" w:rsidR="00455C4C" w:rsidRPr="001F3BD6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102 830 543,06</w:t>
            </w:r>
          </w:p>
        </w:tc>
        <w:tc>
          <w:tcPr>
            <w:tcW w:w="1524" w:type="dxa"/>
          </w:tcPr>
          <w:p w14:paraId="6479F225" w14:textId="4BE80022" w:rsidR="00455C4C" w:rsidRPr="001F3BD6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455C4C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7D563394" w:rsidR="00F76DE9" w:rsidRPr="007A0D06" w:rsidRDefault="00367B8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24 988 627,00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755AF893" w:rsidR="00F76DE9" w:rsidRPr="007A0D06" w:rsidRDefault="0043297C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</w:t>
            </w:r>
            <w:r w:rsidR="009A3DF9">
              <w:rPr>
                <w:sz w:val="20"/>
                <w:szCs w:val="20"/>
              </w:rPr>
              <w:t>5 798,15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A45C6B7" w:rsidR="00F76DE9" w:rsidRPr="007A0D06" w:rsidRDefault="00367B8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1BD3D5B0" w:rsidR="00F76DE9" w:rsidRPr="007A0D06" w:rsidRDefault="0043297C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9 37</w:t>
            </w:r>
            <w:r w:rsidR="00634900" w:rsidRPr="00634900">
              <w:rPr>
                <w:sz w:val="20"/>
                <w:szCs w:val="20"/>
              </w:rPr>
              <w:t>2 263,70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3401DBC2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648 705,79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7C4B7672" w:rsidR="00F76DE9" w:rsidRPr="007A0D06" w:rsidRDefault="009A3D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38 458 992,00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4E3A75A7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969 540,00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087DE5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087DE5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2C956A32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087DE5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763C0334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170 084 071,00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02477DF" w:rsidR="001D0095" w:rsidRPr="00C94DBC" w:rsidRDefault="0043297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</w:t>
            </w:r>
            <w:r w:rsidR="009A3DF9">
              <w:rPr>
                <w:sz w:val="20"/>
                <w:szCs w:val="20"/>
              </w:rPr>
              <w:t>10 493,35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3E9D85A1" w:rsidR="001D0095" w:rsidRPr="00C94DBC" w:rsidRDefault="0043297C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4 6</w:t>
            </w:r>
            <w:r w:rsidR="009A3DF9">
              <w:rPr>
                <w:bCs/>
                <w:sz w:val="20"/>
                <w:szCs w:val="20"/>
              </w:rPr>
              <w:t>98 484,00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3A147798" w:rsidR="001D0095" w:rsidRPr="00D040BC" w:rsidRDefault="009A3DF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1 052 073,30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627830DC" w:rsidR="001D0095" w:rsidRPr="00D040BC" w:rsidRDefault="000B69C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93 572 420,75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0C584C2B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158 482,50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087DE5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>Муниципальное 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087DE5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267A37C2" w:rsidR="001D0095" w:rsidRPr="00D040BC" w:rsidRDefault="003D4B7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7 108 920,00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087DE5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55CD0F55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02F02E46" w:rsidR="000C397E" w:rsidRPr="00844CBB" w:rsidRDefault="0043297C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2D5AEC0A" w:rsidR="00D41FB7" w:rsidRPr="00E02420" w:rsidRDefault="0043297C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43297C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43297C" w:rsidRPr="00E02420" w:rsidRDefault="0043297C" w:rsidP="0043297C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F1EBC97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43297C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43297C" w:rsidRPr="00E02420" w:rsidRDefault="0043297C" w:rsidP="0043297C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070D509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0975B42E" w:rsidR="002B7415" w:rsidRDefault="0043297C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4 067 585,55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3E932CF5" w:rsidR="00073AF7" w:rsidRPr="00E02420" w:rsidRDefault="003748F3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6AC60202" w:rsidR="00073AF7" w:rsidRPr="00E02420" w:rsidRDefault="003748F3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1E4AAB6" w:rsidR="00ED1D71" w:rsidRPr="00E02420" w:rsidRDefault="003748F3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56966F98" w:rsidR="00ED1D71" w:rsidRPr="00E02420" w:rsidRDefault="003748F3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282D11A5" w:rsidR="00D95F38" w:rsidRPr="00E02420" w:rsidRDefault="003748F3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2 812 000,00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9338006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6433" w14:textId="77777777" w:rsidR="00A05772" w:rsidRDefault="00A05772">
      <w:r>
        <w:separator/>
      </w:r>
    </w:p>
  </w:endnote>
  <w:endnote w:type="continuationSeparator" w:id="0">
    <w:p w14:paraId="54BEAD2A" w14:textId="77777777" w:rsidR="00A05772" w:rsidRDefault="00A0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2D7EBB" w:rsidRDefault="002D7EB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2D7EBB" w:rsidRDefault="002D7EB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58E63805" w:rsidR="002D7EBB" w:rsidRDefault="002D7EB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16310">
      <w:rPr>
        <w:rStyle w:val="af0"/>
        <w:noProof/>
      </w:rPr>
      <w:t>3</w:t>
    </w:r>
    <w:r>
      <w:rPr>
        <w:rStyle w:val="af0"/>
      </w:rPr>
      <w:fldChar w:fldCharType="end"/>
    </w:r>
  </w:p>
  <w:p w14:paraId="70AA9F7C" w14:textId="77777777" w:rsidR="002D7EBB" w:rsidRDefault="002D7EB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088BB" w14:textId="77777777" w:rsidR="00A05772" w:rsidRDefault="00A05772">
      <w:r>
        <w:separator/>
      </w:r>
    </w:p>
  </w:footnote>
  <w:footnote w:type="continuationSeparator" w:id="0">
    <w:p w14:paraId="41DABA86" w14:textId="77777777" w:rsidR="00A05772" w:rsidRDefault="00A05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4AC6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3673B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6310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4055"/>
    <w:rsid w:val="00336828"/>
    <w:rsid w:val="00336CA8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8F3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297C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82E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12F8"/>
    <w:rsid w:val="00721F4B"/>
    <w:rsid w:val="007220EB"/>
    <w:rsid w:val="00722FB4"/>
    <w:rsid w:val="00723A3D"/>
    <w:rsid w:val="00723A97"/>
    <w:rsid w:val="0072429D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93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2F3D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42C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772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016"/>
    <w:rsid w:val="00A57438"/>
    <w:rsid w:val="00A57C81"/>
    <w:rsid w:val="00A57D1E"/>
    <w:rsid w:val="00A60D03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7A0"/>
    <w:rsid w:val="00AB0CFD"/>
    <w:rsid w:val="00AB0F86"/>
    <w:rsid w:val="00AB18B6"/>
    <w:rsid w:val="00AB1BCB"/>
    <w:rsid w:val="00AB260B"/>
    <w:rsid w:val="00AB4036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CAC"/>
    <w:rsid w:val="00B97EC4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0AC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75B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C0DCB-0978-412C-823B-21C0C629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11811</Words>
  <Characters>67324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2024-07-30T04:57:00Z</cp:lastPrinted>
  <dcterms:created xsi:type="dcterms:W3CDTF">2024-07-30T07:17:00Z</dcterms:created>
  <dcterms:modified xsi:type="dcterms:W3CDTF">2024-07-30T07:17:00Z</dcterms:modified>
</cp:coreProperties>
</file>