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D54D46D" w:rsidR="002B5A33" w:rsidRPr="00F65385" w:rsidRDefault="00757B8C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04F85D34" w:rsidR="002B5A33" w:rsidRPr="00F65385" w:rsidRDefault="00757B8C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617-п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77777777" w:rsidR="00634179" w:rsidRDefault="00A2506B" w:rsidP="00A61D45">
      <w:pPr>
        <w:jc w:val="both"/>
      </w:pPr>
      <w:r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Pr="00B06CF7">
        <w:t xml:space="preserve">Вичугского муниципального </w:t>
      </w:r>
      <w:r w:rsidR="00396C59">
        <w:t>р</w:t>
      </w:r>
      <w:r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Pr="00B06CF7">
        <w:t>муниципального</w:t>
      </w:r>
      <w:r w:rsidR="007A164B">
        <w:t xml:space="preserve"> </w:t>
      </w:r>
      <w:r w:rsidR="004A0404">
        <w:t xml:space="preserve">  </w:t>
      </w:r>
      <w:r w:rsidRPr="00B06CF7">
        <w:t>района</w:t>
      </w:r>
      <w:r w:rsidR="004A0404">
        <w:t xml:space="preserve">   </w:t>
      </w:r>
      <w:r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237BF20E" w:rsidR="00A2506B" w:rsidRDefault="00621203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757B8C" w:rsidRPr="00757B8C">
        <w:rPr>
          <w:u w:val="single"/>
        </w:rPr>
        <w:t>08.12.2023 г.</w:t>
      </w:r>
      <w:r>
        <w:t xml:space="preserve">   </w:t>
      </w:r>
      <w:r w:rsidR="00D73823">
        <w:t xml:space="preserve"> </w:t>
      </w:r>
      <w:r w:rsidR="00A2506B">
        <w:t>№</w:t>
      </w:r>
      <w:r w:rsidR="001F511D">
        <w:t xml:space="preserve"> </w:t>
      </w:r>
      <w:r w:rsidR="00757B8C" w:rsidRPr="00757B8C">
        <w:rPr>
          <w:u w:val="single"/>
        </w:rPr>
        <w:t>617-п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 xml:space="preserve">«Приложение к постановлению </w:t>
      </w:r>
      <w:bookmarkStart w:id="0" w:name="_GoBack"/>
      <w:bookmarkEnd w:id="0"/>
      <w:r>
        <w:t>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7E0F00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CF0D62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8060891" w:rsidR="005319DA" w:rsidRPr="007E0F00" w:rsidRDefault="00CF0D62" w:rsidP="00C9478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282 633 820,97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499F64C2" w:rsidR="00077A0E" w:rsidRPr="00CF0D62" w:rsidRDefault="00CF0D62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CF0D62">
              <w:rPr>
                <w:b/>
              </w:rPr>
              <w:t>282 633 820,97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C94782" w:rsidRPr="00077A0E" w14:paraId="51CBB87A" w14:textId="27F228FF" w:rsidTr="00C94782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tcBorders>
              <w:top w:val="nil"/>
            </w:tcBorders>
          </w:tcPr>
          <w:p w14:paraId="101B9615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94782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D773878" w:rsidR="00C94782" w:rsidRPr="009A7570" w:rsidRDefault="00EE53F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258 533 240,13</w:t>
            </w:r>
          </w:p>
          <w:p w14:paraId="784093AB" w14:textId="19092E7D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606E0885" w14:textId="3BF09ECF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4759DD0D" w14:textId="77777777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  <w:vMerge/>
          </w:tcPr>
          <w:p w14:paraId="374A1A2A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242E19D2" w:rsidR="00C94782" w:rsidRPr="001C7583" w:rsidRDefault="00EE53F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107 305 025,21</w:t>
            </w:r>
          </w:p>
        </w:tc>
        <w:tc>
          <w:tcPr>
            <w:tcW w:w="1579" w:type="dxa"/>
          </w:tcPr>
          <w:p w14:paraId="3FF28A69" w14:textId="7357B4AE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483DCA" w14:textId="796C046C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  <w:tc>
          <w:tcPr>
            <w:tcW w:w="1580" w:type="dxa"/>
            <w:vMerge/>
          </w:tcPr>
          <w:p w14:paraId="4959F47E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4C9F1BE" w:rsidR="00C94782" w:rsidRPr="001C7583" w:rsidRDefault="00EE53F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147 785 193,85</w:t>
            </w:r>
          </w:p>
        </w:tc>
        <w:tc>
          <w:tcPr>
            <w:tcW w:w="1579" w:type="dxa"/>
          </w:tcPr>
          <w:p w14:paraId="58A72791" w14:textId="78A1202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  <w:vMerge/>
          </w:tcPr>
          <w:p w14:paraId="37320738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C94782" w:rsidRPr="001C7583" w:rsidRDefault="00C94782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C94782" w:rsidRPr="001C7583" w:rsidRDefault="00C94782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C94782" w:rsidRPr="001C7583" w:rsidRDefault="00C94782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C94782" w:rsidRPr="001C7583" w:rsidRDefault="00C9478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D9DFA0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01B582AF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EF5A22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D22FA00" w14:textId="3D619129" w:rsidTr="00C94782">
        <w:trPr>
          <w:cantSplit/>
          <w:trHeight w:val="655"/>
        </w:trPr>
        <w:tc>
          <w:tcPr>
            <w:tcW w:w="1589" w:type="dxa"/>
          </w:tcPr>
          <w:p w14:paraId="0F066824" w14:textId="11D914C6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C94782" w:rsidRPr="009A7570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C94782" w:rsidRPr="001C7583" w:rsidRDefault="00C94782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  <w:vMerge/>
            <w:tcBorders>
              <w:bottom w:val="nil"/>
            </w:tcBorders>
          </w:tcPr>
          <w:p w14:paraId="630A9E52" w14:textId="77777777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EE53F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EE53F7" w:rsidRPr="00E02420" w:rsidRDefault="00EE53F7" w:rsidP="00EE53F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068F724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258 533 240,13</w:t>
            </w:r>
          </w:p>
          <w:p w14:paraId="0027986B" w14:textId="0F83D95D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EE53F7" w:rsidRPr="009A757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EE53F7" w:rsidRPr="00077A0E" w14:paraId="7A63F2DE" w14:textId="2385F0F7" w:rsidTr="00077A0E">
        <w:tc>
          <w:tcPr>
            <w:tcW w:w="3857" w:type="dxa"/>
          </w:tcPr>
          <w:p w14:paraId="6376178F" w14:textId="77777777" w:rsidR="00EE53F7" w:rsidRPr="00E02420" w:rsidRDefault="00EE53F7" w:rsidP="00EE53F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EE53F7" w:rsidRPr="00E02420" w:rsidRDefault="00EE53F7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EE53F7" w:rsidRPr="00E02420" w:rsidRDefault="00EE53F7" w:rsidP="00EE53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EE53F7" w:rsidRPr="00E0242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EE53F7" w:rsidRPr="00E02420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6D964FD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107 305 025,21</w:t>
            </w:r>
          </w:p>
        </w:tc>
        <w:tc>
          <w:tcPr>
            <w:tcW w:w="1579" w:type="dxa"/>
          </w:tcPr>
          <w:p w14:paraId="2BA38B05" w14:textId="77777777" w:rsidR="00EE53F7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EE53F7" w:rsidRPr="001F3BD6" w:rsidRDefault="00EE53F7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3FD5265" w:rsidR="00077A0E" w:rsidRPr="007A0D06" w:rsidRDefault="00EE53F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665C92CC" w:rsidR="00F66559" w:rsidRPr="007A0D06" w:rsidRDefault="00566BB1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800C40" w:rsidR="00077A0E" w:rsidRPr="00114953" w:rsidRDefault="00566BB1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564535" w:rsidR="0084215E" w:rsidRPr="002D3C83" w:rsidRDefault="00566BB1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08790DDB" w:rsidR="0084215E" w:rsidRPr="00B73327" w:rsidRDefault="00566BB1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6AFE9E9" w:rsidR="00077A0E" w:rsidRPr="007A0D06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7C5BD111" w:rsidR="00A25D09" w:rsidRPr="00B06D12" w:rsidRDefault="00566BB1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147 925 193,85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55F42BA" w:rsidR="00077A0E" w:rsidRPr="00D040BC" w:rsidRDefault="00A00B48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291CFA71" w:rsidR="00077A0E" w:rsidRPr="00D040BC" w:rsidRDefault="00566BB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5 632 290,00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3C3F5FA7" w:rsidR="00077A0E" w:rsidRPr="00D040BC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1 149 385,00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1C30A430" w:rsidR="00077A0E" w:rsidRPr="00D040BC" w:rsidRDefault="00566BB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0846FE9C" w:rsidR="00077A0E" w:rsidRPr="00D040BC" w:rsidRDefault="00566BB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12 899 410,00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0752EEB7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043A6108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ED95F01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2EDA1540" w:rsidR="00E02420" w:rsidRPr="00E02420" w:rsidRDefault="00A879C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7 349 151,00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BF62191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8D671" w14:textId="77777777" w:rsidR="005D39A5" w:rsidRDefault="005D39A5">
      <w:r>
        <w:separator/>
      </w:r>
    </w:p>
  </w:endnote>
  <w:endnote w:type="continuationSeparator" w:id="0">
    <w:p w14:paraId="179B43DA" w14:textId="77777777" w:rsidR="005D39A5" w:rsidRDefault="005D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CF0D62" w:rsidRDefault="00CF0D62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CF0D62" w:rsidRDefault="00CF0D62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5C851528" w:rsidR="00CF0D62" w:rsidRDefault="00CF0D62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57B8C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CF0D62" w:rsidRDefault="00CF0D62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4179F" w14:textId="77777777" w:rsidR="005D39A5" w:rsidRDefault="005D39A5">
      <w:r>
        <w:separator/>
      </w:r>
    </w:p>
  </w:footnote>
  <w:footnote w:type="continuationSeparator" w:id="0">
    <w:p w14:paraId="5E34DB02" w14:textId="77777777" w:rsidR="005D39A5" w:rsidRDefault="005D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26C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A5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B8C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1A7F-659C-41B6-810B-AE0F8CF1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8744</Words>
  <Characters>60514</Characters>
  <Application>Microsoft Office Word</Application>
  <DocSecurity>0</DocSecurity>
  <Lines>504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2023-12-07T10:08:00Z</cp:lastPrinted>
  <dcterms:created xsi:type="dcterms:W3CDTF">2023-12-08T08:28:00Z</dcterms:created>
  <dcterms:modified xsi:type="dcterms:W3CDTF">2023-12-08T08:28:00Z</dcterms:modified>
</cp:coreProperties>
</file>